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0.png" ContentType="image/png"/>
  <Override PartName="/word/media/rId61.png" ContentType="image/png"/>
  <Override PartName="/word/media/rId62.png" ContentType="image/png"/>
  <Override PartName="/word/media/rId63.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2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2.png" ContentType="image/png"/>
  <Override PartName="/word/media/rId39.png" ContentType="image/png"/>
  <Override PartName="/word/media/rId40.png" ContentType="image/png"/>
  <Override PartName="/word/media/rId41.png" ContentType="image/png"/>
  <Override PartName="/word/media/rId42.png" ContentType="image/png"/>
  <Override PartName="/word/media/rId23.png" ContentType="image/png"/>
  <Override PartName="/word/media/rId24.png" ContentType="image/png"/>
  <Override PartName="/word/media/rId25.png" ContentType="image/png"/>
  <Override PartName="/word/media/rId27.png" ContentType="image/png"/>
  <Override PartName="/word/media/rId28.png" ContentType="image/png"/>
  <Override PartName="/word/media/rId29.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Trends</w:t>
      </w:r>
      <w:r>
        <w:t xml:space="preserve"> </w:t>
      </w:r>
      <w:r>
        <w:t xml:space="preserve">in</w:t>
      </w:r>
      <w:r>
        <w:t xml:space="preserve"> </w:t>
      </w:r>
      <w:r>
        <w:t xml:space="preserve">Sea</w:t>
      </w:r>
      <w:r>
        <w:t xml:space="preserve"> </w:t>
      </w:r>
      <w:r>
        <w:t xml:space="preserve">Star</w:t>
      </w:r>
      <w:r>
        <w:t xml:space="preserve"> </w:t>
      </w:r>
      <w:r>
        <w:t xml:space="preserve">Abundance</w:t>
      </w:r>
      <w:r>
        <w:t xml:space="preserve"> </w:t>
      </w:r>
      <w:r>
        <w:t xml:space="preserve">on</w:t>
      </w:r>
      <w:r>
        <w:t xml:space="preserve"> </w:t>
      </w:r>
      <w:r>
        <w:t xml:space="preserve">the</w:t>
      </w:r>
      <w:r>
        <w:t xml:space="preserve"> </w:t>
      </w:r>
      <w:r>
        <w:t xml:space="preserve">US</w:t>
      </w:r>
      <w:r>
        <w:t xml:space="preserve"> </w:t>
      </w:r>
      <w:r>
        <w:t xml:space="preserve">West</w:t>
      </w:r>
      <w:r>
        <w:t xml:space="preserve"> </w:t>
      </w:r>
      <w:r>
        <w:t xml:space="preserve">Coast-</w:t>
      </w:r>
      <w:r>
        <w:t xml:space="preserve"> </w:t>
      </w:r>
      <w:r>
        <w:t xml:space="preserve">Figures</w:t>
      </w:r>
    </w:p>
    <w:p>
      <w:pPr>
        <w:pStyle w:val="Heading1"/>
      </w:pPr>
      <w:bookmarkStart w:id="20" w:name="exploratory-analyses"/>
      <w:r>
        <w:t xml:space="preserve">Exploratory Analyses</w:t>
      </w:r>
      <w:bookmarkEnd w:id="20"/>
    </w:p>
    <w:p>
      <w:pPr>
        <w:pStyle w:val="Heading2"/>
      </w:pPr>
      <w:bookmarkStart w:id="21" w:name="mapping-survey-sites"/>
      <w:r>
        <w:t xml:space="preserve">Mapping Survey Sites</w:t>
      </w:r>
      <w:bookmarkEnd w:id="21"/>
    </w:p>
    <w:p>
      <w:pPr>
        <w:pStyle w:val="CaptionedFigure"/>
      </w:pPr>
      <w:r>
        <w:drawing>
          <wp:inline>
            <wp:extent cx="5334000" cy="6096000"/>
            <wp:effectExtent b="0" l="0" r="0" t="0"/>
            <wp:docPr descr="Fig 1. Sampling sites included in this study that are located in Alaska, USA (color-coded red)." title="" id="1" name="Picture"/>
            <a:graphic>
              <a:graphicData uri="http://schemas.openxmlformats.org/drawingml/2006/picture">
                <pic:pic>
                  <pic:nvPicPr>
                    <pic:cNvPr descr="../../results/Exploratory_Analysis_results/1.AK_sites_map.png" id="0" name="Picture"/>
                    <pic:cNvPicPr>
                      <a:picLocks noChangeArrowheads="1" noChangeAspect="1"/>
                    </pic:cNvPicPr>
                  </pic:nvPicPr>
                  <pic:blipFill>
                    <a:blip r:embed="rId2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1. Sampling sites included in this study that are located in Alaska, USA (color-coded red).</w:t>
      </w:r>
    </w:p>
    <w:p>
      <w:pPr>
        <w:pStyle w:val="CaptionedFigure"/>
      </w:pPr>
      <w:r>
        <w:drawing>
          <wp:inline>
            <wp:extent cx="5334000" cy="6096000"/>
            <wp:effectExtent b="0" l="0" r="0" t="0"/>
            <wp:docPr descr="Fig 2. Sampling sites included in this study that are located in Washington, USA (color-coded purple)." title="" id="1" name="Picture"/>
            <a:graphic>
              <a:graphicData uri="http://schemas.openxmlformats.org/drawingml/2006/picture">
                <pic:pic>
                  <pic:nvPicPr>
                    <pic:cNvPr descr="../../results/Exploratory_Analysis_results/2.WA_sites_map.png" id="0" name="Picture"/>
                    <pic:cNvPicPr>
                      <a:picLocks noChangeArrowheads="1" noChangeAspect="1"/>
                    </pic:cNvPicPr>
                  </pic:nvPicPr>
                  <pic:blipFill>
                    <a:blip r:embed="rId2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2. Sampling sites included in this study that are located in Washington, USA (color-coded purple).</w:t>
      </w:r>
    </w:p>
    <w:p>
      <w:pPr>
        <w:pStyle w:val="CaptionedFigure"/>
      </w:pPr>
      <w:r>
        <w:drawing>
          <wp:inline>
            <wp:extent cx="5334000" cy="6096000"/>
            <wp:effectExtent b="0" l="0" r="0" t="0"/>
            <wp:docPr descr="Fig 3. Sampling sites included in this study that are located in Oregon, USA (color-coded orange)." title="" id="1" name="Picture"/>
            <a:graphic>
              <a:graphicData uri="http://schemas.openxmlformats.org/drawingml/2006/picture">
                <pic:pic>
                  <pic:nvPicPr>
                    <pic:cNvPr descr="../../results/Exploratory_Analysis_results/3.OR_sites_map.png" id="0" name="Picture"/>
                    <pic:cNvPicPr>
                      <a:picLocks noChangeArrowheads="1" noChangeAspect="1"/>
                    </pic:cNvPicPr>
                  </pic:nvPicPr>
                  <pic:blipFill>
                    <a:blip r:embed="rId2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3. Sampling sites included in this study that are located in Oregon, USA (color-coded orange).</w:t>
      </w:r>
    </w:p>
    <w:p>
      <w:pPr>
        <w:pStyle w:val="CaptionedFigure"/>
      </w:pPr>
      <w:r>
        <w:drawing>
          <wp:inline>
            <wp:extent cx="5334000" cy="6096000"/>
            <wp:effectExtent b="0" l="0" r="0" t="0"/>
            <wp:docPr descr="Fig 4. Sampling sites included in this study that are located in California, USA (color-coded teal)." title="" id="1" name="Picture"/>
            <a:graphic>
              <a:graphicData uri="http://schemas.openxmlformats.org/drawingml/2006/picture">
                <pic:pic>
                  <pic:nvPicPr>
                    <pic:cNvPr descr="../../results/Exploratory_Analysis_results/4.CA_sites_map.png" id="0" name="Picture"/>
                    <pic:cNvPicPr>
                      <a:picLocks noChangeArrowheads="1" noChangeAspect="1"/>
                    </pic:cNvPicPr>
                  </pic:nvPicPr>
                  <pic:blipFill>
                    <a:blip r:embed="rId2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4. Sampling sites included in this study that are located in California, USA (color-coded teal).</w:t>
      </w:r>
    </w:p>
    <w:p>
      <w:pPr>
        <w:pStyle w:val="Heading2"/>
      </w:pPr>
      <w:bookmarkStart w:id="26" w:name="how-does-species-abundance-change-across-time-and-space"/>
      <w:r>
        <w:t xml:space="preserve">How does species abundance change across time and space?</w:t>
      </w:r>
      <w:bookmarkEnd w:id="26"/>
    </w:p>
    <w:p>
      <w:pPr>
        <w:pStyle w:val="CaptionedFigure"/>
      </w:pPr>
      <w:r>
        <w:drawing>
          <wp:inline>
            <wp:extent cx="5334000" cy="4267200"/>
            <wp:effectExtent b="0" l="0" r="0" t="0"/>
            <wp:docPr descr="Fig 5. Log-transformed counts of all species included in the surveyed (“spp. abundance”) across all sampling years in the data set (2000-2018), separated by state (AK=Alaska, WA=Washington, OR=Oregon, CA=California) and displayed as a scatterplot." title="" id="1" name="Picture"/>
            <a:graphic>
              <a:graphicData uri="http://schemas.openxmlformats.org/drawingml/2006/picture">
                <pic:pic>
                  <pic:nvPicPr>
                    <pic:cNvPr descr="../../results/Exploratory_Analysis_results/6.Abundance_State_Year_graphs.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5. Log-transformed counts of all species included in the surveyed (</w:t>
      </w:r>
      <w:r>
        <w:t xml:space="preserve">“</w:t>
      </w:r>
      <w:r>
        <w:t xml:space="preserve">spp. abundance</w:t>
      </w:r>
      <w:r>
        <w:t xml:space="preserve">”</w:t>
      </w:r>
      <w:r>
        <w:t xml:space="preserve">) across all sampling years in the data set (2000-2018), separated by state (AK=Alaska, WA=Washington, OR=Oregon, CA=California) and displayed as a scatterplot.</w:t>
      </w:r>
    </w:p>
    <w:p>
      <w:pPr>
        <w:pStyle w:val="CaptionedFigure"/>
      </w:pPr>
      <w:r>
        <w:drawing>
          <wp:inline>
            <wp:extent cx="5334000" cy="4267200"/>
            <wp:effectExtent b="0" l="0" r="0" t="0"/>
            <wp:docPr descr="Fig 6. Log-transformed counts of the ochre sea star (Pisaster ochraceus) across all sampling years in the data set (2000-2018) across all sampling locations, displayed as a series of boxplots." title="" id="1" name="Picture"/>
            <a:graphic>
              <a:graphicData uri="http://schemas.openxmlformats.org/drawingml/2006/picture">
                <pic:pic>
                  <pic:nvPicPr>
                    <pic:cNvPr descr="../../results/Exploratory_Analysis_results/7.P.ochra_only_2000-2018.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6. Log-transformed counts of the ochre sea star (Pisaster ochraceus) across all sampling years in the data set (2000-2018) across all sampling locations, displayed as a series of boxplots.</w:t>
      </w:r>
    </w:p>
    <w:p>
      <w:pPr>
        <w:pStyle w:val="CaptionedFigure"/>
      </w:pPr>
      <w:r>
        <w:drawing>
          <wp:inline>
            <wp:extent cx="5334000" cy="4267200"/>
            <wp:effectExtent b="0" l="0" r="0" t="0"/>
            <wp:docPr descr="Fig 7. Log-transformed counts of the black chiton (Katharina tunicata)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8.K.tuni_only_2000-2018.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7. Log-transformed counts of the black chiton (Katharina tunicata) across all sampling years in the data set (2009-2018) across all sampling locations, displayed as a series of boxplots. This species was not recorded prior to 2009.</w:t>
      </w:r>
    </w:p>
    <w:p>
      <w:pPr>
        <w:pStyle w:val="CaptionedFigure"/>
      </w:pPr>
      <w:r>
        <w:drawing>
          <wp:inline>
            <wp:extent cx="5334000" cy="4267200"/>
            <wp:effectExtent b="0" l="0" r="0" t="0"/>
            <wp:docPr descr="Fig 8. Log-transformed counts of the mottled sea star (Evasterias troschelii)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9.E.tros_only_2000-2018.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8. Log-transformed counts of the mottled sea star (Evasterias troschelii) across all sampling years in the data set (2009-2018) across all sampling locations, displayed as a series of boxplots. This species was not recorded prior to 2009.</w:t>
      </w:r>
    </w:p>
    <w:p>
      <w:pPr>
        <w:pStyle w:val="Heading2"/>
      </w:pPr>
      <w:bookmarkStart w:id="31" w:name="are-there-discernable-changes-in-spp.-abundance-before-after-the-focal-sswd-event"/>
      <w:r>
        <w:t xml:space="preserve">Are there discernable changes in spp. abundance before &amp; after the focal SSWD event?</w:t>
      </w:r>
      <w:bookmarkEnd w:id="31"/>
    </w:p>
    <w:p>
      <w:pPr>
        <w:pStyle w:val="CaptionedFigure"/>
      </w:pPr>
      <w:r>
        <w:drawing>
          <wp:inline>
            <wp:extent cx="5334000" cy="4267200"/>
            <wp:effectExtent b="0" l="0" r="0" t="0"/>
            <wp:docPr descr="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 title="" id="1" name="Picture"/>
            <a:graphic>
              <a:graphicData uri="http://schemas.openxmlformats.org/drawingml/2006/picture">
                <pic:pic>
                  <pic:nvPicPr>
                    <pic:cNvPr descr="../../results/Exploratory_Analysis_results/14.SpeciesRangesSSWD.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w:t>
      </w:r>
    </w:p>
    <w:p>
      <w:pPr>
        <w:pStyle w:val="CaptionedFigure"/>
      </w:pPr>
      <w:r>
        <w:drawing>
          <wp:inline>
            <wp:extent cx="5334000" cy="4267200"/>
            <wp:effectExtent b="0" l="0" r="0" t="0"/>
            <wp:docPr descr="Fig 10. Log-transformed counts of the ochre sea star (Pisaster ochraceus)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0.P.ochra_SSWDtf_plo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10. Log-transformed counts of the ochre sea star (Pisaster ochraceus)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1. Log-transformed counts of the black chiton (Katharina tunicata)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1.K.tuni_SSWDtf_plot.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11. Log-transformed counts of the black chiton (Katharina tunicata)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2. Log-transformed counts of the mottled sea star (Evasterias troschelii)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2.E.tros_SSWDtf_plot.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12. Log-transformed counts of the mottled sea star (Evasterias troschelii) across all sampling locations during the years surrounding a significant sea star wasting disease (SSWD) event (2013-2016), displayed as a series of boxplots.</w:t>
      </w:r>
    </w:p>
    <w:p>
      <w:pPr>
        <w:pStyle w:val="CaptionedFigure"/>
      </w:pPr>
      <w:r>
        <w:drawing>
          <wp:inline>
            <wp:extent cx="5334000" cy="4445000"/>
            <wp:effectExtent b="0" l="0" r="0" t="0"/>
            <wp:docPr descr="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 title="" id="1" name="Picture"/>
            <a:graphic>
              <a:graphicData uri="http://schemas.openxmlformats.org/drawingml/2006/picture">
                <pic:pic>
                  <pic:nvPicPr>
                    <pic:cNvPr descr="../../results/Exploratory_Analysis_results/13.Spp_SSWDtf_state_plot.png" id="0" name="Picture"/>
                    <pic:cNvPicPr>
                      <a:picLocks noChangeArrowheads="1" noChangeAspect="1"/>
                    </pic:cNvPicPr>
                  </pic:nvPicPr>
                  <pic:blipFill>
                    <a:blip r:embed="rId3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w:t>
      </w:r>
    </w:p>
    <w:p>
      <w:pPr>
        <w:pStyle w:val="CaptionedFigure"/>
      </w:pPr>
      <w:r>
        <w:drawing>
          <wp:inline>
            <wp:extent cx="5334000" cy="4267200"/>
            <wp:effectExtent b="0" l="0" r="0" t="0"/>
            <wp:docPr descr="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 title="" id="1" name="Picture"/>
            <a:graphic>
              <a:graphicData uri="http://schemas.openxmlformats.org/drawingml/2006/picture">
                <pic:pic>
                  <pic:nvPicPr>
                    <pic:cNvPr descr="../../results/Exploratory_Analysis_results/14.Season_year_boxplot_po_kt.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w:t>
      </w:r>
    </w:p>
    <w:p>
      <w:pPr>
        <w:pStyle w:val="Heading2"/>
      </w:pPr>
      <w:bookmarkStart w:id="38" w:name="how-did-populations-of-the-focal-sp.-p.-ochraceus-respond-recover-from-the-sswd-event"/>
      <w:r>
        <w:t xml:space="preserve">How did populations of the focal sp., P. ochraceus, respond &amp; recover from the SSWD event?</w:t>
      </w:r>
      <w:bookmarkEnd w:id="38"/>
    </w:p>
    <w:p>
      <w:pPr>
        <w:pStyle w:val="CaptionedFigure"/>
      </w:pPr>
      <w:r>
        <w:drawing>
          <wp:inline>
            <wp:extent cx="5334000" cy="4267200"/>
            <wp:effectExtent b="0" l="0" r="0" t="0"/>
            <wp:docPr descr="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 title="" id="1" name="Picture"/>
            <a:graphic>
              <a:graphicData uri="http://schemas.openxmlformats.org/drawingml/2006/picture">
                <pic:pic>
                  <pic:nvPicPr>
                    <pic:cNvPr descr="../../results/Exploratory_Analysis_results/16.P.ochra_SSWDtf_over50_bysite_fi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w:t>
      </w:r>
    </w:p>
    <w:p>
      <w:pPr>
        <w:pStyle w:val="CaptionedFigure"/>
      </w:pPr>
      <w:r>
        <w:drawing>
          <wp:inline>
            <wp:extent cx="5334000" cy="3556000"/>
            <wp:effectExtent b="0" l="0" r="0" t="0"/>
            <wp:docPr descr="Fig 16. (A) Log-transformed counts and (B) size class of the ochre sea star (Pisaster ochraceus) during an 8-year period (2010-2018) surrounding a significant sea star wasting disease (SSWD) event across all sites. The data is displayed as a series of density plots shaded by quartiles." title="" id="1" name="Picture"/>
            <a:graphic>
              <a:graphicData uri="http://schemas.openxmlformats.org/drawingml/2006/picture">
                <pic:pic>
                  <pic:nvPicPr>
                    <pic:cNvPr descr="../../results/Exploratory_Analysis_results/17.P.ochra_size.vs.abundance_density_allsites.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16. (A) Log-transformed counts and (B) size class of the ochre sea star (Pisaster ochraceus) during an 8-year period (2010-2018) surrounding a significant sea star wasting disease (SSWD) event across all sites. The data is displayed as a series of density plots shaded by quartiles.</w:t>
      </w:r>
    </w:p>
    <w:p>
      <w:pPr>
        <w:pStyle w:val="CaptionedFigure"/>
      </w:pPr>
      <w:r>
        <w:drawing>
          <wp:inline>
            <wp:extent cx="5334000" cy="3556000"/>
            <wp:effectExtent b="0" l="0" r="0" t="0"/>
            <wp:docPr descr="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 title="" id="1" name="Picture"/>
            <a:graphic>
              <a:graphicData uri="http://schemas.openxmlformats.org/drawingml/2006/picture">
                <pic:pic>
                  <pic:nvPicPr>
                    <pic:cNvPr descr="../../results/Exploratory_Analysis_results/18.P.ochra_size_abundance_density_over50.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w:t>
      </w:r>
    </w:p>
    <w:p>
      <w:pPr>
        <w:pStyle w:val="CaptionedFigure"/>
      </w:pPr>
      <w:r>
        <w:drawing>
          <wp:inline>
            <wp:extent cx="5334000" cy="3556000"/>
            <wp:effectExtent b="0" l="0" r="0" t="0"/>
            <wp:docPr descr="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 title="" id="1" name="Picture"/>
            <a:graphic>
              <a:graphicData uri="http://schemas.openxmlformats.org/drawingml/2006/picture">
                <pic:pic>
                  <pic:nvPicPr>
                    <pic:cNvPr descr="../../results/Exploratory_Analysis_results/19.P.ochra_size_abundance_scatter.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w:t>
      </w:r>
    </w:p>
    <w:p>
      <w:pPr>
        <w:pStyle w:val="Heading2"/>
      </w:pPr>
      <w:bookmarkStart w:id="43" w:name="full-machine-learning-analyses"/>
      <w:r>
        <w:t xml:space="preserve">Full machine learning analyses</w:t>
      </w:r>
      <w:bookmarkEnd w:id="43"/>
    </w:p>
    <w:p>
      <w:pPr>
        <w:pStyle w:val="Heading3"/>
      </w:pPr>
      <w:bookmarkStart w:id="44" w:name="which-variables-predict-species-abundance"/>
      <w:r>
        <w:t xml:space="preserve">Which variables predict species abundance?</w:t>
      </w:r>
      <w:bookmarkEnd w:id="44"/>
    </w:p>
    <w:p>
      <w:pPr>
        <w:pStyle w:val="CaptionedFigure"/>
      </w:pPr>
      <w:r>
        <w:drawing>
          <wp:inline>
            <wp:extent cx="5334000" cy="4267200"/>
            <wp:effectExtent b="0" l="0" r="0" t="0"/>
            <wp:docPr descr="Fig 19. Plotting numeric predictors against the outcome of interest, ochre sea star (P. ochraceus) abundance (log-transformed “total”). Note: The purpose of this figure is to provide a quick visualization and is not intended to be detailed enough to resolve specific trends." title="" id="1" name="Picture"/>
            <a:graphic>
              <a:graphicData uri="http://schemas.openxmlformats.org/drawingml/2006/picture">
                <pic:pic>
                  <pic:nvPicPr>
                    <pic:cNvPr descr="../../results/Continuous_Outcome_Modeling_results/1.count_vs_numerical.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Plotting numeric predictors against the outcome of interest, ochre sea star (P. ochraceus) abundance (log-transformed</w:t>
      </w:r>
      <w:r>
        <w:t xml:space="preserve"> </w:t>
      </w:r>
      <w:r>
        <w:t xml:space="preserve">“</w:t>
      </w:r>
      <w:r>
        <w:t xml:space="preserve">total</w:t>
      </w:r>
      <w:r>
        <w:t xml:space="preserve">”</w:t>
      </w:r>
      <w:r>
        <w:t xml:space="preserve">). Note: The purpose of this figure is to provide a quick visualization and is not intended to be detailed enough to resolve specific trends.</w:t>
      </w:r>
    </w:p>
    <w:p>
      <w:pPr>
        <w:pStyle w:val="CaptionedFigure"/>
      </w:pPr>
      <w:r>
        <w:drawing>
          <wp:inline>
            <wp:extent cx="5334000" cy="4267200"/>
            <wp:effectExtent b="0" l="0" r="0" t="0"/>
            <wp:docPr descr="Fig 20. Plotting categorical predictors against the outcome of interest, ochre sea star (P. ochraceus) abundance (log-transformed “total”). Note: The purpose of this figure is to provide a quick visualization and is not intended to be detailed enough to resolve specific trends." title="" id="1" name="Picture"/>
            <a:graphic>
              <a:graphicData uri="http://schemas.openxmlformats.org/drawingml/2006/picture">
                <pic:pic>
                  <pic:nvPicPr>
                    <pic:cNvPr descr="../../results/Continuous_Outcome_Modeling_results/2.count_vs_categorical.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Plotting categorical predictors against the outcome of interest, ochre sea star (P. ochraceus) abundance (log-transformed</w:t>
      </w:r>
      <w:r>
        <w:t xml:space="preserve"> </w:t>
      </w:r>
      <w:r>
        <w:t xml:space="preserve">“</w:t>
      </w:r>
      <w:r>
        <w:t xml:space="preserve">total</w:t>
      </w:r>
      <w:r>
        <w:t xml:space="preserve">”</w:t>
      </w:r>
      <w:r>
        <w:t xml:space="preserve">). Note: The purpose of this figure is to provide a quick visualization and is not intended to be detailed enough to resolve specific trends.</w:t>
      </w:r>
    </w:p>
    <w:p>
      <w:pPr>
        <w:pStyle w:val="CaptionedFigure"/>
      </w:pPr>
      <w:r>
        <w:drawing>
          <wp:inline>
            <wp:extent cx="5334000" cy="4267200"/>
            <wp:effectExtent b="0" l="0" r="0" t="0"/>
            <wp:docPr descr="Fig 21. Results of (A) single predictor models and (B) multiple predictor models,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3.Predictor_RMSE.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21. Results of (A) single predictor models and (B) multiple predictor models,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2. Results of multiple predictor models before and after centering and scaling (ex. knn and knn_cs denote before and after, respectively),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4.Multi_Predictor_RMSE_cs.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22. Results of multiple predictor models before and after centering and scaling (ex. knn and knn_cs denote before and after, respectively),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3. Predicted versus outcome residuals for the best-fitting model (knn) on the training data." title="" id="1" name="Picture"/>
            <a:graphic>
              <a:graphicData uri="http://schemas.openxmlformats.org/drawingml/2006/picture">
                <pic:pic>
                  <pic:nvPicPr>
                    <pic:cNvPr descr="../../results/Continuous_Outcome_Modeling_results/5.Residuals.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23. Predicted versus outcome residuals for the best-fitting model (knn) on the training data.</w:t>
      </w:r>
    </w:p>
    <w:p>
      <w:pPr>
        <w:pStyle w:val="CaptionedFigure"/>
      </w:pPr>
      <w:r>
        <w:drawing>
          <wp:inline>
            <wp:extent cx="5334000" cy="4267200"/>
            <wp:effectExtent b="0" l="0" r="0" t="0"/>
            <wp:docPr descr="Fig 24. Results of the best fitting model (knn, or “fit_3”), evaluated on the training and test data using the performance metric RMSE (root mean squared error). The RMSE of the null model on each of the two data sets is also displayed (“Null_train” and “Null_test”) for context and comparison." title="" id="1" name="Picture"/>
            <a:graphic>
              <a:graphicData uri="http://schemas.openxmlformats.org/drawingml/2006/picture">
                <pic:pic>
                  <pic:nvPicPr>
                    <pic:cNvPr descr="../../results/Continuous_Outcome_Modeling_results/6.final_results_RMSE.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24. Results of the best fitting model (knn, or</w:t>
      </w:r>
      <w:r>
        <w:t xml:space="preserve"> </w:t>
      </w:r>
      <w:r>
        <w:t xml:space="preserve">“</w:t>
      </w:r>
      <w:r>
        <w:t xml:space="preserve">fit_3</w:t>
      </w:r>
      <w:r>
        <w:t xml:space="preserve">”</w:t>
      </w:r>
      <w:r>
        <w:t xml:space="preserve">), evaluated on the training and test data using the performance metric RMSE (root mean squared error). The RMSE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p>
      <w:pPr>
        <w:pStyle w:val="Heading3"/>
      </w:pPr>
      <w:bookmarkStart w:id="51" w:name="can-we-predict-bioregion-using-variable-selection-and-tree-fitting-models"/>
      <w:r>
        <w:t xml:space="preserve">Can we predict bioregion using variable selection and tree-fitting models?</w:t>
      </w:r>
      <w:bookmarkEnd w:id="51"/>
    </w:p>
    <w:p>
      <w:pPr>
        <w:pStyle w:val="CaptionedFigure"/>
      </w:pPr>
      <w:r>
        <w:drawing>
          <wp:inline>
            <wp:extent cx="5334000" cy="4267200"/>
            <wp:effectExtent b="0" l="0" r="0" t="0"/>
            <wp:docPr descr="Fig 25.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 title="" id="1" name="Picture"/>
            <a:graphic>
              <a:graphicData uri="http://schemas.openxmlformats.org/drawingml/2006/picture">
                <pic:pic>
                  <pic:nvPicPr>
                    <pic:cNvPr descr="../../results/Categorical_Outcome_Modeling_results/1.bioregion_histogram.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25.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w:t>
      </w:r>
    </w:p>
    <w:p>
      <w:pPr>
        <w:pStyle w:val="BodyText"/>
      </w:pPr>
      <w:r>
        <w:drawing>
          <wp:inline>
            <wp:extent cx="5334000" cy="4267200"/>
            <wp:effectExtent b="0" l="0" r="0" t="0"/>
            <wp:docPr descr="" title="" id="1" name="Picture"/>
            <a:graphic>
              <a:graphicData uri="http://schemas.openxmlformats.org/drawingml/2006/picture">
                <pic:pic>
                  <pic:nvPicPr>
                    <pic:cNvPr descr="../../results/Categorical_Outcome_Modeling_results/2.spatial_num_pred.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3295031"/>
            <wp:effectExtent b="0" l="0" r="0" t="0"/>
            <wp:docPr descr="" title="" id="1" name="Picture"/>
            <a:graphic>
              <a:graphicData uri="http://schemas.openxmlformats.org/drawingml/2006/picture">
                <pic:pic>
                  <pic:nvPicPr>
                    <pic:cNvPr descr="../../results/Categorical_Outcome_Modeling_results/3.temporal_num_pred.png" id="0"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p>
    <w:p>
      <w:pPr>
        <w:pStyle w:val="CaptionedFigure"/>
      </w:pPr>
      <w:r>
        <w:drawing>
          <wp:inline>
            <wp:extent cx="5334000" cy="3295031"/>
            <wp:effectExtent b="0" l="0" r="0" t="0"/>
            <wp:docPr descr="Fig 26.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4.spp.rel_num_pred.png" id="0" name="Picture"/>
                    <pic:cNvPicPr>
                      <a:picLocks noChangeArrowheads="1" noChangeAspect="1"/>
                    </pic:cNvPicPr>
                  </pic:nvPicPr>
                  <pic:blipFill>
                    <a:blip r:embed="rId5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 26.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w:t>
      </w:r>
    </w:p>
    <w:p>
      <w:pPr>
        <w:pStyle w:val="BodyText"/>
      </w:pPr>
      <w:r>
        <w:drawing>
          <wp:inline>
            <wp:extent cx="5334000" cy="3295031"/>
            <wp:effectExtent b="0" l="0" r="0" t="0"/>
            <wp:docPr descr="" title="" id="1" name="Picture"/>
            <a:graphic>
              <a:graphicData uri="http://schemas.openxmlformats.org/drawingml/2006/picture">
                <pic:pic>
                  <pic:nvPicPr>
                    <pic:cNvPr descr="../../results/Categorical_Outcome_Modeling_results/5.sampleinfo_cat_pred.png" id="0" name="Picture"/>
                    <pic:cNvPicPr>
                      <a:picLocks noChangeArrowheads="1" noChangeAspect="1"/>
                    </pic:cNvPicPr>
                  </pic:nvPicPr>
                  <pic:blipFill>
                    <a:blip r:embed="rId56"/>
                    <a:stretch>
                      <a:fillRect/>
                    </a:stretch>
                  </pic:blipFill>
                  <pic:spPr bwMode="auto">
                    <a:xfrm>
                      <a:off x="0" y="0"/>
                      <a:ext cx="5334000" cy="3295031"/>
                    </a:xfrm>
                    <a:prstGeom prst="rect">
                      <a:avLst/>
                    </a:prstGeom>
                    <a:noFill/>
                    <a:ln w="9525">
                      <a:noFill/>
                      <a:headEnd/>
                      <a:tailEnd/>
                    </a:ln>
                  </pic:spPr>
                </pic:pic>
              </a:graphicData>
            </a:graphic>
          </wp:inline>
        </w:drawing>
      </w:r>
    </w:p>
    <w:p>
      <w:pPr>
        <w:pStyle w:val="BodyText"/>
      </w:pPr>
      <w:r>
        <w:drawing>
          <wp:inline>
            <wp:extent cx="5334000" cy="3295031"/>
            <wp:effectExtent b="0" l="0" r="0" t="0"/>
            <wp:docPr descr="" title="" id="1" name="Picture"/>
            <a:graphic>
              <a:graphicData uri="http://schemas.openxmlformats.org/drawingml/2006/picture">
                <pic:pic>
                  <pic:nvPicPr>
                    <pic:cNvPr descr="../../results/Categorical_Outcome_Modeling_results/6.spatial_cat_pred.png" id="0" name="Picture"/>
                    <pic:cNvPicPr>
                      <a:picLocks noChangeArrowheads="1" noChangeAspect="1"/>
                    </pic:cNvPicPr>
                  </pic:nvPicPr>
                  <pic:blipFill>
                    <a:blip r:embed="rId57"/>
                    <a:stretch>
                      <a:fillRect/>
                    </a:stretch>
                  </pic:blipFill>
                  <pic:spPr bwMode="auto">
                    <a:xfrm>
                      <a:off x="0" y="0"/>
                      <a:ext cx="5334000" cy="3295031"/>
                    </a:xfrm>
                    <a:prstGeom prst="rect">
                      <a:avLst/>
                    </a:prstGeom>
                    <a:noFill/>
                    <a:ln w="9525">
                      <a:noFill/>
                      <a:headEnd/>
                      <a:tailEnd/>
                    </a:ln>
                  </pic:spPr>
                </pic:pic>
              </a:graphicData>
            </a:graphic>
          </wp:inline>
        </w:drawing>
      </w:r>
    </w:p>
    <w:p>
      <w:pPr>
        <w:pStyle w:val="CaptionedFigure"/>
      </w:pPr>
      <w:r>
        <w:drawing>
          <wp:inline>
            <wp:extent cx="5334000" cy="3295031"/>
            <wp:effectExtent b="0" l="0" r="0" t="0"/>
            <wp:docPr descr="Fig 27.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7.eco_cat_pred.png" id="0" name="Picture"/>
                    <pic:cNvPicPr>
                      <a:picLocks noChangeArrowheads="1" noChangeAspect="1"/>
                    </pic:cNvPicPr>
                  </pic:nvPicPr>
                  <pic:blipFill>
                    <a:blip r:embed="rId5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 27.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w:t>
      </w:r>
    </w:p>
    <w:p>
      <w:pPr>
        <w:pStyle w:val="CaptionedFigure"/>
      </w:pPr>
      <w:r>
        <w:drawing>
          <wp:inline>
            <wp:extent cx="5334000" cy="3556000"/>
            <wp:effectExtent b="0" l="0" r="0" t="0"/>
            <wp:docPr descr="Fig 28.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and predictors falling to the right blue dashed line were removed after this step for having too strong of a correlation with bioregion (&gt;70% accuracy and with logical reasoning as to why such was the case)." title="" id="1" name="Picture"/>
            <a:graphic>
              <a:graphicData uri="http://schemas.openxmlformats.org/drawingml/2006/picture">
                <pic:pic>
                  <pic:nvPicPr>
                    <pic:cNvPr descr="../../results/Categorical_Outcome_Modeling_results/8.single_predictor_accuracy.png" id="0" name="Picture"/>
                    <pic:cNvPicPr>
                      <a:picLocks noChangeArrowheads="1" noChangeAspect="1"/>
                    </pic:cNvPicPr>
                  </pic:nvPicPr>
                  <pic:blipFill>
                    <a:blip r:embed="rId5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28.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and predictors falling to the right blue dashed line were removed after this step for having too strong of a correlation with bioregion (&gt;70% accuracy and with logical reasoning as to why such was the case).</w:t>
      </w:r>
    </w:p>
    <w:p>
      <w:pPr>
        <w:pStyle w:val="CaptionedFigure"/>
      </w:pPr>
      <w:r>
        <w:drawing>
          <wp:inline>
            <wp:extent cx="5334000" cy="3166812"/>
            <wp:effectExtent b="0" l="0" r="0" t="0"/>
            <wp:docPr descr="Fig 29.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 “Kappa” is Cohen’s (unweighted) Kappa statistic averaged across the resampling results." title="" id="1" name="Picture"/>
            <a:graphic>
              <a:graphicData uri="http://schemas.openxmlformats.org/drawingml/2006/picture">
                <pic:pic>
                  <pic:nvPicPr>
                    <pic:cNvPr descr="../../results/Categorical_Outcome_Modeling_results/11.Accuracy_Kappa_Models_notree.png" id="0" name="Picture"/>
                    <pic:cNvPicPr>
                      <a:picLocks noChangeArrowheads="1" noChangeAspect="1"/>
                    </pic:cNvPicPr>
                  </pic:nvPicPr>
                  <pic:blipFill>
                    <a:blip r:embed="rId60"/>
                    <a:stretch>
                      <a:fillRect/>
                    </a:stretch>
                  </pic:blipFill>
                  <pic:spPr bwMode="auto">
                    <a:xfrm>
                      <a:off x="0" y="0"/>
                      <a:ext cx="5334000" cy="3166812"/>
                    </a:xfrm>
                    <a:prstGeom prst="rect">
                      <a:avLst/>
                    </a:prstGeom>
                    <a:noFill/>
                    <a:ln w="9525">
                      <a:noFill/>
                      <a:headEnd/>
                      <a:tailEnd/>
                    </a:ln>
                  </pic:spPr>
                </pic:pic>
              </a:graphicData>
            </a:graphic>
          </wp:inline>
        </w:drawing>
      </w:r>
    </w:p>
    <w:p>
      <w:pPr>
        <w:pStyle w:val="ImageCaption"/>
      </w:pPr>
      <w:r>
        <w:t xml:space="preserve">Fig 29.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w:t>
      </w:r>
      <w:r>
        <w:t xml:space="preserve"> </w:t>
      </w:r>
      <w:r>
        <w:t xml:space="preserve">“</w:t>
      </w:r>
      <w:r>
        <w:t xml:space="preserve">Kappa</w:t>
      </w:r>
      <w:r>
        <w:t xml:space="preserve">”</w:t>
      </w:r>
      <w:r>
        <w:t xml:space="preserve"> </w:t>
      </w:r>
      <w:r>
        <w:t xml:space="preserve">is Cohen’s (unweighted) Kappa statistic averaged across the resampling results.</w:t>
      </w:r>
    </w:p>
    <w:p>
      <w:pPr>
        <w:pStyle w:val="CaptionedFigure"/>
      </w:pPr>
      <w:r>
        <w:drawing>
          <wp:inline>
            <wp:extent cx="5334000" cy="2355391"/>
            <wp:effectExtent b="0" l="0" r="0" t="0"/>
            <wp:docPr descr="Fig 30.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2.PredvsActual_table.png" id="0" name="Picture"/>
                    <pic:cNvPicPr>
                      <a:picLocks noChangeArrowheads="1" noChangeAspect="1"/>
                    </pic:cNvPicPr>
                  </pic:nvPicPr>
                  <pic:blipFill>
                    <a:blip r:embed="rId61"/>
                    <a:stretch>
                      <a:fillRect/>
                    </a:stretch>
                  </pic:blipFill>
                  <pic:spPr bwMode="auto">
                    <a:xfrm>
                      <a:off x="0" y="0"/>
                      <a:ext cx="5334000" cy="2355391"/>
                    </a:xfrm>
                    <a:prstGeom prst="rect">
                      <a:avLst/>
                    </a:prstGeom>
                    <a:noFill/>
                    <a:ln w="9525">
                      <a:noFill/>
                      <a:headEnd/>
                      <a:tailEnd/>
                    </a:ln>
                  </pic:spPr>
                </pic:pic>
              </a:graphicData>
            </a:graphic>
          </wp:inline>
        </w:drawing>
      </w:r>
    </w:p>
    <w:p>
      <w:pPr>
        <w:pStyle w:val="ImageCaption"/>
      </w:pPr>
      <w:r>
        <w:t xml:space="preserve">Fig 30. Confusion matrix describing the performance of the best-fitting logistical classification model (GBM, or boosted tree ensemble) on the subset test data.</w:t>
      </w:r>
    </w:p>
    <w:p>
      <w:pPr>
        <w:pStyle w:val="CaptionedFigure"/>
      </w:pPr>
      <w:r>
        <w:drawing>
          <wp:inline>
            <wp:extent cx="5334000" cy="2322722"/>
            <wp:effectExtent b="0" l="0" r="0" t="0"/>
            <wp:docPr descr="Fig 31.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3.PredvsActual_table_final.png" id="0" name="Picture"/>
                    <pic:cNvPicPr>
                      <a:picLocks noChangeArrowheads="1" noChangeAspect="1"/>
                    </pic:cNvPicPr>
                  </pic:nvPicPr>
                  <pic:blipFill>
                    <a:blip r:embed="rId62"/>
                    <a:stretch>
                      <a:fillRect/>
                    </a:stretch>
                  </pic:blipFill>
                  <pic:spPr bwMode="auto">
                    <a:xfrm>
                      <a:off x="0" y="0"/>
                      <a:ext cx="5334000" cy="2322722"/>
                    </a:xfrm>
                    <a:prstGeom prst="rect">
                      <a:avLst/>
                    </a:prstGeom>
                    <a:noFill/>
                    <a:ln w="9525">
                      <a:noFill/>
                      <a:headEnd/>
                      <a:tailEnd/>
                    </a:ln>
                  </pic:spPr>
                </pic:pic>
              </a:graphicData>
            </a:graphic>
          </wp:inline>
        </w:drawing>
      </w:r>
    </w:p>
    <w:p>
      <w:pPr>
        <w:pStyle w:val="ImageCaption"/>
      </w:pPr>
      <w:r>
        <w:t xml:space="preserve">Fig 31. Confusion matrix describing the performance of the best-fitting logistical classification model (GBM, or boosted tree ensemble) on the subset test data.</w:t>
      </w:r>
    </w:p>
    <w:p>
      <w:pPr>
        <w:pStyle w:val="CaptionedFigure"/>
      </w:pPr>
      <w:r>
        <w:drawing>
          <wp:inline>
            <wp:extent cx="5334000" cy="4267200"/>
            <wp:effectExtent b="0" l="0" r="0" t="0"/>
            <wp:docPr descr="Fig 32. Results of the best-fitting logistical classification model (GBM, or boosted tree ensemble), evaluated on the training and test data using the performance metric accuracy (ACC). The ACC of the null model on each of the two data sets is also displayed (“Null_train” and “Null_test”) for context and comparison." title="" id="1" name="Picture"/>
            <a:graphic>
              <a:graphicData uri="http://schemas.openxmlformats.org/drawingml/2006/picture">
                <pic:pic>
                  <pic:nvPicPr>
                    <pic:cNvPr descr="../../results/Categorical_Outcome_Modeling_results/14.final_results_cat.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32. Results of the best-fitting logistical classification model (GBM, or boosted tree ensemble), evaluated on the training and test data using the performance metric accuracy (ACC). The ACC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Trends in Sea Star Abundance on the US West Coast- Figures</dc:title>
  <dc:creator/>
  <cp:keywords/>
  <dcterms:created xsi:type="dcterms:W3CDTF">2019-11-30T03:54:18Z</dcterms:created>
  <dcterms:modified xsi:type="dcterms:W3CDTF">2019-11-30T03:54:18Z</dcterms:modified>
</cp:coreProperties>
</file>